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20" w:rsidRDefault="008F2020"/>
    <w:p w:rsidR="008F2020" w:rsidRPr="0076287F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76287F">
        <w:rPr>
          <w:rFonts w:ascii="Arial" w:hAnsi="Arial" w:cs="Arial"/>
          <w:b/>
          <w:sz w:val="24"/>
          <w:szCs w:val="24"/>
          <w:u w:val="single"/>
        </w:rPr>
        <w:t xml:space="preserve">December 4, 2015, </w:t>
      </w:r>
      <w:r w:rsidRPr="0076287F">
        <w:rPr>
          <w:rFonts w:ascii="Arial" w:hAnsi="Arial" w:cs="Arial"/>
          <w:b/>
          <w:color w:val="000000"/>
          <w:sz w:val="24"/>
          <w:szCs w:val="24"/>
          <w:u w:val="single"/>
        </w:rPr>
        <w:t>State Department production</w:t>
      </w:r>
    </w:p>
    <w:p w:rsidR="008F2020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:rsidR="008F2020" w:rsidRPr="00134165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134165">
        <w:rPr>
          <w:rFonts w:ascii="Arial" w:hAnsi="Arial" w:cs="Arial"/>
          <w:bCs/>
          <w:color w:val="000000"/>
          <w:sz w:val="24"/>
          <w:szCs w:val="24"/>
        </w:rPr>
        <w:t>Sought from State:</w:t>
      </w:r>
    </w:p>
    <w:p w:rsidR="008F2020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(1) </w:t>
      </w: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>“[</w:t>
      </w:r>
      <w:r w:rsidRPr="00957B59">
        <w:rPr>
          <w:rFonts w:ascii="Arial" w:hAnsi="Arial" w:cs="Arial"/>
          <w:b/>
          <w:color w:val="000000"/>
          <w:sz w:val="24"/>
          <w:szCs w:val="24"/>
        </w:rPr>
        <w:t>V]</w:t>
      </w:r>
      <w:proofErr w:type="spellStart"/>
      <w:r w:rsidRPr="00957B59">
        <w:rPr>
          <w:rFonts w:ascii="Arial" w:hAnsi="Arial" w:cs="Arial"/>
          <w:b/>
          <w:color w:val="000000"/>
          <w:sz w:val="24"/>
          <w:szCs w:val="24"/>
        </w:rPr>
        <w:t>ideos</w:t>
      </w:r>
      <w:proofErr w:type="spellEnd"/>
      <w:r w:rsidRPr="00957B59">
        <w:rPr>
          <w:rFonts w:ascii="Arial" w:hAnsi="Arial" w:cs="Arial"/>
          <w:color w:val="000000"/>
          <w:sz w:val="24"/>
          <w:szCs w:val="24"/>
        </w:rPr>
        <w:t xml:space="preserve"> depicting the United States Consulate in Benghazi, Libya (including the </w:t>
      </w:r>
    </w:p>
    <w:p w:rsidR="008F2020" w:rsidRPr="00134165" w:rsidRDefault="008F2020" w:rsidP="008F20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Special Mission Compound and the Annex) between September 10, 2012 and September 12” Complaint ¶ 116(2). </w:t>
      </w:r>
    </w:p>
    <w:p w:rsidR="008F2020" w:rsidRPr="00957B59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(2) </w:t>
      </w: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>“[</w:t>
      </w:r>
      <w:r w:rsidRPr="00957B59">
        <w:rPr>
          <w:rFonts w:ascii="Arial" w:hAnsi="Arial" w:cs="Arial"/>
          <w:b/>
          <w:color w:val="000000"/>
          <w:sz w:val="24"/>
          <w:szCs w:val="24"/>
        </w:rPr>
        <w:t>S]</w:t>
      </w:r>
      <w:proofErr w:type="spellStart"/>
      <w:r w:rsidRPr="00957B59">
        <w:rPr>
          <w:rFonts w:ascii="Arial" w:hAnsi="Arial" w:cs="Arial"/>
          <w:b/>
          <w:color w:val="000000"/>
          <w:sz w:val="24"/>
          <w:szCs w:val="24"/>
        </w:rPr>
        <w:t>urvivors</w:t>
      </w:r>
      <w:proofErr w:type="spellEnd"/>
      <w:r w:rsidRPr="00957B59">
        <w:rPr>
          <w:rFonts w:ascii="Arial" w:hAnsi="Arial" w:cs="Arial"/>
          <w:b/>
          <w:color w:val="000000"/>
          <w:sz w:val="24"/>
          <w:szCs w:val="24"/>
        </w:rPr>
        <w:t>' accounts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” of the attacks. Complaint ¶ 116(3). </w:t>
      </w:r>
    </w:p>
    <w:p w:rsidR="008F2020" w:rsidRPr="00957B59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(3) </w:t>
      </w: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>“[</w:t>
      </w:r>
      <w:r w:rsidRPr="00957B59">
        <w:rPr>
          <w:rFonts w:ascii="Arial" w:hAnsi="Arial" w:cs="Arial"/>
          <w:b/>
          <w:color w:val="000000"/>
          <w:sz w:val="24"/>
          <w:szCs w:val="24"/>
        </w:rPr>
        <w:t>R]</w:t>
      </w:r>
      <w:proofErr w:type="spellStart"/>
      <w:r w:rsidRPr="00957B59">
        <w:rPr>
          <w:rFonts w:ascii="Arial" w:hAnsi="Arial" w:cs="Arial"/>
          <w:b/>
          <w:color w:val="000000"/>
          <w:sz w:val="24"/>
          <w:szCs w:val="24"/>
        </w:rPr>
        <w:t>adio</w:t>
      </w:r>
      <w:proofErr w:type="spellEnd"/>
      <w:r w:rsidRPr="00957B59">
        <w:rPr>
          <w:rFonts w:ascii="Arial" w:hAnsi="Arial" w:cs="Arial"/>
          <w:b/>
          <w:color w:val="000000"/>
          <w:sz w:val="24"/>
          <w:szCs w:val="24"/>
        </w:rPr>
        <w:t xml:space="preserve"> communications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 emanating from the Compound's Tactical Operations </w:t>
      </w: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 xml:space="preserve">Center” during the attack. Complaint ¶ 116(4). </w:t>
      </w:r>
    </w:p>
    <w:p w:rsidR="008F2020" w:rsidRPr="00957B59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(4) </w:t>
      </w: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>“</w:t>
      </w:r>
      <w:r w:rsidRPr="00957B59">
        <w:rPr>
          <w:rFonts w:ascii="Arial" w:hAnsi="Arial" w:cs="Arial"/>
          <w:b/>
          <w:color w:val="000000"/>
          <w:sz w:val="24"/>
          <w:szCs w:val="24"/>
        </w:rPr>
        <w:t>Clinton's actions and communications for the 24-hour period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 beginning </w:t>
      </w: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57B59">
        <w:rPr>
          <w:rFonts w:ascii="Arial" w:hAnsi="Arial" w:cs="Arial"/>
          <w:color w:val="000000"/>
          <w:sz w:val="24"/>
          <w:szCs w:val="24"/>
        </w:rPr>
        <w:t>when</w:t>
      </w:r>
      <w:proofErr w:type="gramEnd"/>
      <w:r w:rsidRPr="00957B59">
        <w:rPr>
          <w:rFonts w:ascii="Arial" w:hAnsi="Arial" w:cs="Arial"/>
          <w:color w:val="000000"/>
          <w:sz w:val="24"/>
          <w:szCs w:val="24"/>
        </w:rPr>
        <w:t xml:space="preserve"> first</w:t>
      </w:r>
      <w:r w:rsidRPr="001341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notified” of the attack. Complaint ¶ 116(6). </w:t>
      </w:r>
    </w:p>
    <w:p w:rsidR="008F2020" w:rsidRPr="00957B59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(5) </w:t>
      </w: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 xml:space="preserve">Records “regarding </w:t>
      </w:r>
      <w:r w:rsidRPr="00957B59">
        <w:rPr>
          <w:rFonts w:ascii="Arial" w:hAnsi="Arial" w:cs="Arial"/>
          <w:b/>
          <w:color w:val="000000"/>
          <w:sz w:val="24"/>
          <w:szCs w:val="24"/>
        </w:rPr>
        <w:t>meetings between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 Christopher Stevens or any other Tripoli </w:t>
      </w:r>
    </w:p>
    <w:p w:rsidR="008F2020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b/>
          <w:color w:val="000000"/>
          <w:sz w:val="24"/>
          <w:szCs w:val="24"/>
        </w:rPr>
        <w:t>Embassy official</w:t>
      </w:r>
      <w:r w:rsidRPr="00957B59">
        <w:rPr>
          <w:rFonts w:ascii="Arial" w:hAnsi="Arial" w:cs="Arial"/>
          <w:color w:val="000000"/>
          <w:sz w:val="24"/>
          <w:szCs w:val="24"/>
        </w:rPr>
        <w:t>, and one or more of the following [</w:t>
      </w:r>
      <w:r w:rsidRPr="00957B59">
        <w:rPr>
          <w:rFonts w:ascii="Arial" w:hAnsi="Arial" w:cs="Arial"/>
          <w:b/>
          <w:color w:val="000000"/>
          <w:sz w:val="24"/>
          <w:szCs w:val="24"/>
        </w:rPr>
        <w:t>nine] individuals</w:t>
      </w:r>
      <w:r w:rsidRPr="00957B59">
        <w:rPr>
          <w:rFonts w:ascii="Arial" w:hAnsi="Arial" w:cs="Arial"/>
          <w:color w:val="000000"/>
          <w:sz w:val="24"/>
          <w:szCs w:val="24"/>
        </w:rPr>
        <w:t>…”</w:t>
      </w:r>
    </w:p>
    <w:p w:rsidR="008F2020" w:rsidRPr="00134165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Complaint ¶ 116 (11). </w:t>
      </w:r>
    </w:p>
    <w:p w:rsidR="008F2020" w:rsidRPr="00957B59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(6) </w:t>
      </w: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 xml:space="preserve">Records “regarding Secretary of State </w:t>
      </w:r>
      <w:r w:rsidRPr="00957B59">
        <w:rPr>
          <w:rFonts w:ascii="Arial" w:hAnsi="Arial" w:cs="Arial"/>
          <w:b/>
          <w:color w:val="000000"/>
          <w:sz w:val="24"/>
          <w:szCs w:val="24"/>
        </w:rPr>
        <w:t>Clinton's recommendations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 regarding</w:t>
      </w:r>
    </w:p>
    <w:p w:rsidR="008F2020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U.S. support to those seeking to oust forces loyal to Colonel Muammar </w:t>
      </w:r>
      <w:r w:rsidRPr="00957B59">
        <w:rPr>
          <w:rFonts w:ascii="Arial" w:hAnsi="Arial" w:cs="Arial"/>
          <w:b/>
          <w:color w:val="000000"/>
          <w:sz w:val="24"/>
          <w:szCs w:val="24"/>
        </w:rPr>
        <w:t>Gaddafi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F2020" w:rsidRPr="00134165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57B59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957B59">
        <w:rPr>
          <w:rFonts w:ascii="Arial" w:hAnsi="Arial" w:cs="Arial"/>
          <w:color w:val="000000"/>
          <w:sz w:val="24"/>
          <w:szCs w:val="24"/>
        </w:rPr>
        <w:t xml:space="preserve"> his government.” Complaint ¶ 122(1).</w:t>
      </w:r>
    </w:p>
    <w:p w:rsidR="008F2020" w:rsidRPr="00957B59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57B59">
        <w:rPr>
          <w:rFonts w:ascii="Arial" w:hAnsi="Arial" w:cs="Arial"/>
          <w:color w:val="000000"/>
          <w:sz w:val="24"/>
          <w:szCs w:val="24"/>
        </w:rPr>
        <w:t xml:space="preserve">(7) </w:t>
      </w: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 xml:space="preserve">“Records generated from March of 2011 through September of 2012, regarding </w:t>
      </w:r>
    </w:p>
    <w:p w:rsidR="008F2020" w:rsidRPr="00134165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34165">
        <w:rPr>
          <w:rFonts w:ascii="Arial" w:hAnsi="Arial" w:cs="Arial"/>
          <w:color w:val="000000"/>
          <w:sz w:val="24"/>
          <w:szCs w:val="24"/>
        </w:rPr>
        <w:tab/>
      </w:r>
      <w:r w:rsidRPr="00957B59">
        <w:rPr>
          <w:rFonts w:ascii="Arial" w:hAnsi="Arial" w:cs="Arial"/>
          <w:color w:val="000000"/>
          <w:sz w:val="24"/>
          <w:szCs w:val="24"/>
        </w:rPr>
        <w:t xml:space="preserve">Secretary of State </w:t>
      </w:r>
      <w:r w:rsidRPr="00957B59">
        <w:rPr>
          <w:rFonts w:ascii="Arial" w:hAnsi="Arial" w:cs="Arial"/>
          <w:b/>
          <w:color w:val="000000"/>
          <w:sz w:val="24"/>
          <w:szCs w:val="24"/>
        </w:rPr>
        <w:t>Clinton's recommendations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 to support those seeking to oust </w:t>
      </w:r>
    </w:p>
    <w:p w:rsidR="008F2020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34165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57B59">
        <w:rPr>
          <w:rFonts w:ascii="Arial" w:hAnsi="Arial" w:cs="Arial"/>
          <w:color w:val="000000"/>
          <w:sz w:val="24"/>
          <w:szCs w:val="24"/>
        </w:rPr>
        <w:t>forces</w:t>
      </w:r>
      <w:proofErr w:type="gramEnd"/>
      <w:r w:rsidRPr="00957B59">
        <w:rPr>
          <w:rFonts w:ascii="Arial" w:hAnsi="Arial" w:cs="Arial"/>
          <w:color w:val="000000"/>
          <w:sz w:val="24"/>
          <w:szCs w:val="24"/>
        </w:rPr>
        <w:t xml:space="preserve"> loyal to the government of Bashar </w:t>
      </w:r>
      <w:r w:rsidRPr="00957B59">
        <w:rPr>
          <w:rFonts w:ascii="Arial" w:hAnsi="Arial" w:cs="Arial"/>
          <w:b/>
          <w:color w:val="000000"/>
          <w:sz w:val="24"/>
          <w:szCs w:val="24"/>
        </w:rPr>
        <w:t>al-Assad</w:t>
      </w:r>
      <w:r w:rsidRPr="00957B59">
        <w:rPr>
          <w:rFonts w:ascii="Arial" w:hAnsi="Arial" w:cs="Arial"/>
          <w:color w:val="000000"/>
          <w:sz w:val="24"/>
          <w:szCs w:val="24"/>
        </w:rPr>
        <w:t xml:space="preserve">.” Complaint ¶ 122(2). </w:t>
      </w:r>
    </w:p>
    <w:p w:rsidR="008F2020" w:rsidRDefault="008F2020" w:rsidP="008F202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2020" w:rsidRDefault="008F2020" w:rsidP="008F202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F2020" w:rsidRPr="00134165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  <w:r w:rsidRPr="00134165">
        <w:rPr>
          <w:rFonts w:ascii="Arial" w:hAnsi="Arial" w:cs="Arial"/>
          <w:b/>
          <w:sz w:val="24"/>
          <w:szCs w:val="24"/>
        </w:rPr>
        <w:t xml:space="preserve">December 4, 2015, </w:t>
      </w:r>
      <w:r w:rsidRPr="00134165">
        <w:rPr>
          <w:rFonts w:ascii="Arial" w:hAnsi="Arial" w:cs="Arial"/>
          <w:b/>
          <w:color w:val="000000"/>
          <w:sz w:val="24"/>
          <w:szCs w:val="24"/>
        </w:rPr>
        <w:t xml:space="preserve">State Case No. </w:t>
      </w:r>
      <w:r w:rsidRPr="00134165">
        <w:rPr>
          <w:rFonts w:ascii="Arial" w:hAnsi="Arial" w:cs="Arial"/>
          <w:b/>
          <w:sz w:val="24"/>
          <w:szCs w:val="24"/>
        </w:rPr>
        <w:t>F-2014-03625</w:t>
      </w:r>
    </w:p>
    <w:p w:rsidR="008F2020" w:rsidRPr="00FA387D" w:rsidRDefault="008F2020" w:rsidP="008F2020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FA387D">
        <w:rPr>
          <w:rFonts w:ascii="Arial" w:hAnsi="Arial" w:cs="Arial"/>
          <w:b/>
          <w:sz w:val="24"/>
          <w:szCs w:val="24"/>
          <w:u w:val="single"/>
        </w:rPr>
        <w:t>53 pages, six documents, three released in full, three released in part</w:t>
      </w:r>
    </w:p>
    <w:p w:rsidR="008F2020" w:rsidRDefault="008F2020"/>
    <w:p w:rsidR="008F2020" w:rsidRDefault="008F2020"/>
    <w:tbl>
      <w:tblPr>
        <w:tblStyle w:val="TableGrid"/>
        <w:tblpPr w:leftFromText="180" w:rightFromText="180" w:vertAnchor="text" w:horzAnchor="margin" w:tblpY="785"/>
        <w:tblW w:w="10342" w:type="dxa"/>
        <w:tblLayout w:type="fixed"/>
        <w:tblLook w:val="04A0" w:firstRow="1" w:lastRow="0" w:firstColumn="1" w:lastColumn="0" w:noHBand="0" w:noVBand="1"/>
      </w:tblPr>
      <w:tblGrid>
        <w:gridCol w:w="762"/>
        <w:gridCol w:w="675"/>
        <w:gridCol w:w="358"/>
        <w:gridCol w:w="1080"/>
        <w:gridCol w:w="1440"/>
        <w:gridCol w:w="3957"/>
        <w:gridCol w:w="2070"/>
      </w:tblGrid>
      <w:tr w:rsidR="00867AE5" w:rsidRPr="000F4B84" w:rsidTr="00867AE5">
        <w:trPr>
          <w:trHeight w:val="467"/>
        </w:trPr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F4B84">
              <w:rPr>
                <w:rFonts w:ascii="Arial" w:hAnsi="Arial" w:cs="Arial"/>
                <w:b/>
                <w:sz w:val="20"/>
                <w:szCs w:val="20"/>
              </w:rPr>
              <w:t>Bates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F4B84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58" w:type="dxa"/>
          </w:tcPr>
          <w:p w:rsidR="00A72243" w:rsidRPr="0076287F" w:rsidRDefault="00A72243" w:rsidP="008F202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6287F">
              <w:rPr>
                <w:rFonts w:ascii="Arial" w:hAnsi="Arial" w:cs="Arial"/>
                <w:b/>
                <w:sz w:val="16"/>
                <w:szCs w:val="16"/>
              </w:rPr>
              <w:t>Pages</w:t>
            </w: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Doc ID </w:t>
            </w:r>
            <w:r w:rsidRPr="000F4B84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0F4B84">
              <w:rPr>
                <w:rFonts w:ascii="Arial" w:hAnsi="Arial" w:cs="Arial"/>
                <w:b/>
                <w:sz w:val="16"/>
                <w:szCs w:val="16"/>
              </w:rPr>
              <w:t>Exemption</w:t>
            </w:r>
          </w:p>
        </w:tc>
        <w:tc>
          <w:tcPr>
            <w:tcW w:w="3957" w:type="dxa"/>
          </w:tcPr>
          <w:p w:rsidR="00A72243" w:rsidRPr="002A6E23" w:rsidRDefault="00867AE5" w:rsidP="008F202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Quotes</w:t>
            </w:r>
          </w:p>
        </w:tc>
        <w:tc>
          <w:tcPr>
            <w:tcW w:w="2070" w:type="dxa"/>
          </w:tcPr>
          <w:p w:rsidR="00A72243" w:rsidRPr="002A6E23" w:rsidRDefault="008F2020" w:rsidP="008F202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Analysis </w:t>
            </w: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</w:t>
            </w:r>
            <w:r w:rsidR="00867A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Cover letter</w:t>
            </w: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B84">
              <w:rPr>
                <w:rFonts w:ascii="Arial" w:hAnsi="Arial" w:cs="Arial"/>
                <w:sz w:val="18"/>
                <w:szCs w:val="18"/>
              </w:rPr>
              <w:t>Aug 11, 2011</w:t>
            </w: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B84">
              <w:rPr>
                <w:rFonts w:ascii="Arial" w:hAnsi="Arial" w:cs="Arial"/>
                <w:sz w:val="16"/>
                <w:szCs w:val="16"/>
              </w:rPr>
              <w:t>C05586395</w:t>
            </w:r>
            <w:proofErr w:type="spellEnd"/>
          </w:p>
        </w:tc>
        <w:tc>
          <w:tcPr>
            <w:tcW w:w="1440" w:type="dxa"/>
          </w:tcPr>
          <w:p w:rsidR="00A72243" w:rsidRPr="00867AE5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67AE5">
              <w:rPr>
                <w:rFonts w:ascii="Arial" w:hAnsi="Arial" w:cs="Arial"/>
                <w:sz w:val="16"/>
                <w:szCs w:val="16"/>
              </w:rPr>
              <w:t xml:space="preserve">Released in part </w:t>
            </w:r>
          </w:p>
        </w:tc>
        <w:tc>
          <w:tcPr>
            <w:tcW w:w="3957" w:type="dxa"/>
          </w:tcPr>
          <w:p w:rsidR="00BB4DEC" w:rsidRPr="00BB4DEC" w:rsidRDefault="00BB4DEC" w:rsidP="008F2020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BB4DEC">
              <w:rPr>
                <w:rFonts w:ascii="Arial" w:hAnsi="Arial" w:cs="Arial"/>
                <w:i/>
                <w:sz w:val="20"/>
                <w:szCs w:val="20"/>
              </w:rPr>
              <w:t>CABLE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 xml:space="preserve">DRAFTED BY: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TILLOU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, PATRICK A – </w:t>
            </w:r>
            <w:r w:rsidRPr="002A6E23">
              <w:rPr>
                <w:rFonts w:ascii="Arial" w:hAnsi="Arial" w:cs="Arial"/>
                <w:iCs/>
                <w:sz w:val="20"/>
                <w:szCs w:val="20"/>
              </w:rPr>
              <w:t>08/22/11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 xml:space="preserve">APPROVED BY: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FELTMAN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>, JEFFREY D.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lastRenderedPageBreak/>
              <w:t xml:space="preserve">FM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SECSTATE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WASHDC</w:t>
            </w:r>
            <w:proofErr w:type="spellEnd"/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TO ALL EUROPE COLLECTIVE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AFRICAN UNION CO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 w:rsidRPr="002A6E23">
              <w:rPr>
                <w:rFonts w:ascii="Arial" w:hAnsi="Arial" w:cs="Arial"/>
                <w:sz w:val="20"/>
                <w:szCs w:val="20"/>
              </w:rPr>
              <w:t>ECTIVE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ALL AFRICAN DIPLOMATIC POSTS COLLECTIVE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A72243" w:rsidRPr="002C6AF5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C6AF5">
              <w:rPr>
                <w:rFonts w:ascii="Arial" w:hAnsi="Arial" w:cs="Arial"/>
                <w:sz w:val="16"/>
                <w:szCs w:val="16"/>
              </w:rPr>
              <w:t>WHITE HOUSE NATIONAL SECURITY COUNCIL WASHINGTON DC</w:t>
            </w:r>
          </w:p>
          <w:p w:rsidR="00A72243" w:rsidRPr="002C6AF5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C6AF5">
              <w:rPr>
                <w:rFonts w:ascii="Arial" w:hAnsi="Arial" w:cs="Arial"/>
                <w:sz w:val="16"/>
                <w:szCs w:val="16"/>
              </w:rPr>
              <w:t>***</w:t>
            </w:r>
          </w:p>
          <w:p w:rsidR="00A72243" w:rsidRPr="002C6AF5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C6AF5">
              <w:rPr>
                <w:rFonts w:ascii="Arial" w:hAnsi="Arial" w:cs="Arial"/>
                <w:sz w:val="16"/>
                <w:szCs w:val="16"/>
              </w:rPr>
              <w:t xml:space="preserve">SUBJECT: </w:t>
            </w:r>
            <w:proofErr w:type="spellStart"/>
            <w:r w:rsidRPr="002C6AF5">
              <w:rPr>
                <w:rFonts w:ascii="Arial" w:hAnsi="Arial" w:cs="Arial"/>
                <w:sz w:val="16"/>
                <w:szCs w:val="16"/>
              </w:rPr>
              <w:t>JIBRIL</w:t>
            </w:r>
            <w:proofErr w:type="spellEnd"/>
            <w:r w:rsidRPr="002C6AF5">
              <w:rPr>
                <w:rFonts w:ascii="Arial" w:hAnsi="Arial" w:cs="Arial"/>
                <w:sz w:val="16"/>
                <w:szCs w:val="16"/>
              </w:rPr>
              <w:t xml:space="preserve"> UPDATES U.S. DELEGATION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70" w:type="dxa"/>
          </w:tcPr>
          <w:p w:rsidR="008F2020" w:rsidRDefault="008F2020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FA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Responsive t</w:t>
            </w:r>
            <w:r w:rsidRPr="00A606D1">
              <w:rPr>
                <w:rFonts w:ascii="Arial" w:hAnsi="Arial" w:cs="Arial"/>
                <w:color w:val="000000"/>
                <w:sz w:val="16"/>
                <w:szCs w:val="16"/>
              </w:rPr>
              <w:t>o "meetings between Christopher Stevens…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60C1">
              <w:rPr>
                <w:rFonts w:ascii="Arial" w:hAnsi="Arial" w:cs="Arial"/>
                <w:color w:val="000000"/>
                <w:sz w:val="16"/>
                <w:szCs w:val="16"/>
              </w:rPr>
              <w:t xml:space="preserve">and… Mustafa Abdul </w:t>
            </w:r>
            <w:proofErr w:type="spellStart"/>
            <w:r w:rsidRPr="007D60C1">
              <w:rPr>
                <w:rFonts w:ascii="Arial" w:hAnsi="Arial" w:cs="Arial"/>
                <w:color w:val="000000"/>
                <w:sz w:val="16"/>
                <w:szCs w:val="16"/>
              </w:rPr>
              <w:t>Jalil</w:t>
            </w:r>
            <w:proofErr w:type="spellEnd"/>
            <w:r w:rsidRPr="007D60C1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r w:rsidRPr="007D60C1">
              <w:rPr>
                <w:rFonts w:ascii="Arial" w:hAnsi="Arial" w:cs="Arial"/>
                <w:color w:val="000000"/>
                <w:sz w:val="16"/>
                <w:szCs w:val="16"/>
              </w:rPr>
              <w:t>Compl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D60C1">
              <w:rPr>
                <w:rFonts w:ascii="Arial" w:hAnsi="Arial" w:cs="Arial"/>
                <w:color w:val="000000"/>
                <w:sz w:val="16"/>
                <w:szCs w:val="16"/>
              </w:rPr>
              <w:t xml:space="preserve">¶ 116 (11). </w:t>
            </w:r>
          </w:p>
          <w:p w:rsidR="008F2020" w:rsidRDefault="008F2020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2020" w:rsidRDefault="008F2020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Not enough information to determine whether otherwise responsive, half redacted.</w:t>
            </w:r>
          </w:p>
          <w:p w:rsidR="008F2020" w:rsidRPr="007D60C1" w:rsidRDefault="008F2020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A606D1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72243" w:rsidRPr="00A606D1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72243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7F7F">
              <w:rPr>
                <w:rFonts w:ascii="Arial" w:hAnsi="Arial" w:cs="Arial"/>
                <w:sz w:val="16"/>
                <w:szCs w:val="16"/>
              </w:rPr>
              <w:t xml:space="preserve">(b)(1), 1.4(b) and (d) of </w:t>
            </w:r>
            <w:proofErr w:type="spellStart"/>
            <w:r w:rsidRPr="00A57F7F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Pr="00A57F7F">
              <w:rPr>
                <w:rFonts w:ascii="Arial" w:hAnsi="Arial" w:cs="Arial"/>
                <w:sz w:val="16"/>
                <w:szCs w:val="16"/>
              </w:rPr>
              <w:t xml:space="preserve"> 13526, re </w:t>
            </w: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foreign government information, or </w:t>
            </w: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57F7F">
              <w:rPr>
                <w:rFonts w:ascii="Arial" w:hAnsi="Arial" w:cs="Arial"/>
                <w:sz w:val="16"/>
                <w:szCs w:val="16"/>
              </w:rPr>
              <w:t>foreign relations or activities of US including confidential sources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[REDACTION]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2. (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SBU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) NEA Assistant secretary Jeffrey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Feltman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met for nearly two hours on August 18 with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TNC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PM Mahmoud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Jibril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and Minister of Finance Ali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Tarhouni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in the Tibesti Hotel. The meeting also included U.S. Representative Chris Stevens, NEA/MAG Director Bill Roebuck,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NSS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Diredor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Ben Fishman,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TNC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council member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Fati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Baaja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, and Deputy Foreign Minister Saleh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Bashari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[REDACTION]</w:t>
            </w: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354F6C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54F6C">
              <w:rPr>
                <w:rFonts w:ascii="Arial" w:hAnsi="Arial" w:cs="Arial"/>
                <w:sz w:val="16"/>
                <w:szCs w:val="16"/>
              </w:rPr>
              <w:t>Withheld in entirety</w:t>
            </w:r>
            <w:r>
              <w:rPr>
                <w:rFonts w:ascii="Arial" w:hAnsi="Arial" w:cs="Arial"/>
                <w:sz w:val="16"/>
                <w:szCs w:val="16"/>
              </w:rPr>
              <w:t xml:space="preserve"> --</w:t>
            </w:r>
          </w:p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7F7F">
              <w:rPr>
                <w:rFonts w:ascii="Arial" w:hAnsi="Arial" w:cs="Arial"/>
                <w:sz w:val="16"/>
                <w:szCs w:val="16"/>
              </w:rPr>
              <w:t xml:space="preserve">(b)(1), 1.4(b) and (d) of </w:t>
            </w:r>
            <w:proofErr w:type="spellStart"/>
            <w:r w:rsidRPr="00A57F7F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Pr="00A57F7F">
              <w:rPr>
                <w:rFonts w:ascii="Arial" w:hAnsi="Arial" w:cs="Arial"/>
                <w:sz w:val="16"/>
                <w:szCs w:val="16"/>
              </w:rPr>
              <w:t xml:space="preserve"> 13526, re </w:t>
            </w: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foreign government information, or </w:t>
            </w: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57F7F">
              <w:rPr>
                <w:rFonts w:ascii="Arial" w:hAnsi="Arial" w:cs="Arial"/>
                <w:sz w:val="16"/>
                <w:szCs w:val="16"/>
              </w:rPr>
              <w:t>foreign relations or activities of US including confidential sources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2E1A8C" w:rsidRDefault="00A72243" w:rsidP="008F202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354F6C">
              <w:rPr>
                <w:rFonts w:ascii="Arial" w:hAnsi="Arial" w:cs="Arial"/>
                <w:sz w:val="16"/>
                <w:szCs w:val="16"/>
              </w:rPr>
              <w:t>Withheld in entirety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--</w:t>
            </w:r>
          </w:p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7F7F">
              <w:rPr>
                <w:rFonts w:ascii="Arial" w:hAnsi="Arial" w:cs="Arial"/>
                <w:sz w:val="16"/>
                <w:szCs w:val="16"/>
              </w:rPr>
              <w:t xml:space="preserve">(b)(1), 1.4(b) and (d) of </w:t>
            </w:r>
            <w:proofErr w:type="spellStart"/>
            <w:r w:rsidRPr="00A57F7F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Pr="00A57F7F">
              <w:rPr>
                <w:rFonts w:ascii="Arial" w:hAnsi="Arial" w:cs="Arial"/>
                <w:sz w:val="16"/>
                <w:szCs w:val="16"/>
              </w:rPr>
              <w:t xml:space="preserve"> 13526, re </w:t>
            </w: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foreign government information, or </w:t>
            </w: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57F7F">
              <w:rPr>
                <w:rFonts w:ascii="Arial" w:hAnsi="Arial" w:cs="Arial"/>
                <w:sz w:val="16"/>
                <w:szCs w:val="16"/>
              </w:rPr>
              <w:t>foreign relations or activities of US including confidential sources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354F6C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54F6C">
              <w:rPr>
                <w:rFonts w:ascii="Arial" w:hAnsi="Arial" w:cs="Arial"/>
                <w:sz w:val="16"/>
                <w:szCs w:val="16"/>
              </w:rPr>
              <w:t>Withheld in entirety --</w:t>
            </w:r>
          </w:p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7F7F">
              <w:rPr>
                <w:rFonts w:ascii="Arial" w:hAnsi="Arial" w:cs="Arial"/>
                <w:sz w:val="16"/>
                <w:szCs w:val="16"/>
              </w:rPr>
              <w:t xml:space="preserve">(b)(1), 1.4(b) and (d) of </w:t>
            </w:r>
            <w:proofErr w:type="spellStart"/>
            <w:r w:rsidRPr="00A57F7F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Pr="00A57F7F">
              <w:rPr>
                <w:rFonts w:ascii="Arial" w:hAnsi="Arial" w:cs="Arial"/>
                <w:sz w:val="16"/>
                <w:szCs w:val="16"/>
              </w:rPr>
              <w:t xml:space="preserve"> 13526, re </w:t>
            </w: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foreign government information, or </w:t>
            </w: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foreign relations or activities of US including </w:t>
            </w:r>
            <w:r w:rsidRPr="00A57F7F">
              <w:rPr>
                <w:rFonts w:ascii="Arial" w:hAnsi="Arial" w:cs="Arial"/>
                <w:sz w:val="16"/>
                <w:szCs w:val="16"/>
              </w:rPr>
              <w:lastRenderedPageBreak/>
              <w:t>confidential sources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Released in part --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(b)(1), 1.4(b) and (d) of </w:t>
            </w:r>
            <w:proofErr w:type="spellStart"/>
            <w:r w:rsidRPr="00A57F7F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Pr="00A57F7F">
              <w:rPr>
                <w:rFonts w:ascii="Arial" w:hAnsi="Arial" w:cs="Arial"/>
                <w:sz w:val="16"/>
                <w:szCs w:val="16"/>
              </w:rPr>
              <w:t xml:space="preserve"> 13526, re </w:t>
            </w: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foreign government information, or </w:t>
            </w: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57F7F">
              <w:rPr>
                <w:rFonts w:ascii="Arial" w:hAnsi="Arial" w:cs="Arial"/>
                <w:sz w:val="16"/>
                <w:szCs w:val="16"/>
              </w:rPr>
              <w:t>foreign relations or activities of US including confidential sources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[REDACTION]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bCs/>
                <w:sz w:val="20"/>
                <w:szCs w:val="20"/>
              </w:rPr>
              <w:t>17. (</w:t>
            </w:r>
            <w:proofErr w:type="spellStart"/>
            <w:r w:rsidRPr="002A6E23">
              <w:rPr>
                <w:rFonts w:ascii="Arial" w:hAnsi="Arial" w:cs="Arial"/>
                <w:bCs/>
                <w:sz w:val="20"/>
                <w:szCs w:val="20"/>
              </w:rPr>
              <w:t>SBU</w:t>
            </w:r>
            <w:proofErr w:type="spellEnd"/>
            <w:r w:rsidRPr="002A6E23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2A6E23">
              <w:rPr>
                <w:rFonts w:ascii="Arial" w:hAnsi="Arial" w:cs="Arial"/>
                <w:bCs/>
                <w:sz w:val="20"/>
                <w:szCs w:val="20"/>
              </w:rPr>
              <w:t>Jibril</w:t>
            </w:r>
            <w:proofErr w:type="spellEnd"/>
            <w:r w:rsidRPr="002A6E23">
              <w:rPr>
                <w:rFonts w:ascii="Arial" w:hAnsi="Arial" w:cs="Arial"/>
                <w:bCs/>
                <w:sz w:val="20"/>
                <w:szCs w:val="20"/>
              </w:rPr>
              <w:t xml:space="preserve"> said that, while there were some extremists in Libya, they were a very small part </w:t>
            </w:r>
            <w:r w:rsidRPr="002A6E23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2A6E23">
              <w:rPr>
                <w:rFonts w:ascii="Arial" w:hAnsi="Arial" w:cs="Arial"/>
                <w:bCs/>
                <w:sz w:val="20"/>
                <w:szCs w:val="20"/>
              </w:rPr>
              <w:t xml:space="preserve">population. Libyans are a moderate people, he explained, and do not subscribe to fundamentalist or extremist ideologies. He emphasized that he </w:t>
            </w:r>
            <w:r w:rsidRPr="002A6E23">
              <w:rPr>
                <w:rFonts w:ascii="Arial" w:hAnsi="Arial" w:cs="Arial"/>
                <w:sz w:val="20"/>
                <w:szCs w:val="20"/>
              </w:rPr>
              <w:t>is not a</w:t>
            </w:r>
            <w:r w:rsidRPr="002A6E23">
              <w:rPr>
                <w:rFonts w:ascii="Arial" w:eastAsia="HiddenHorzOCR" w:hAnsi="Arial" w:cs="Arial"/>
                <w:sz w:val="20"/>
                <w:szCs w:val="20"/>
              </w:rPr>
              <w:t xml:space="preserve">ware </w:t>
            </w:r>
            <w:r w:rsidRPr="002A6E23">
              <w:rPr>
                <w:rFonts w:ascii="Arial" w:hAnsi="Arial" w:cs="Arial"/>
                <w:bCs/>
                <w:sz w:val="20"/>
                <w:szCs w:val="20"/>
              </w:rPr>
              <w:t xml:space="preserve">of </w:t>
            </w:r>
            <w:r w:rsidRPr="002A6E23">
              <w:rPr>
                <w:rFonts w:ascii="Arial" w:hAnsi="Arial" w:cs="Arial"/>
                <w:sz w:val="20"/>
                <w:szCs w:val="20"/>
              </w:rPr>
              <w:t xml:space="preserve">any presence </w:t>
            </w:r>
            <w:r w:rsidRPr="002A6E23">
              <w:rPr>
                <w:rFonts w:ascii="Arial" w:hAnsi="Arial" w:cs="Arial"/>
                <w:bCs/>
                <w:sz w:val="20"/>
                <w:szCs w:val="20"/>
              </w:rPr>
              <w:t>of AI-</w:t>
            </w:r>
            <w:r>
              <w:rPr>
                <w:rFonts w:ascii="Arial" w:hAnsi="Arial" w:cs="Arial"/>
                <w:bCs/>
                <w:sz w:val="20"/>
                <w:szCs w:val="20"/>
              </w:rPr>
              <w:t>Qae</w:t>
            </w:r>
            <w:r w:rsidRPr="002A6E23">
              <w:rPr>
                <w:rFonts w:ascii="Arial" w:hAnsi="Arial" w:cs="Arial"/>
                <w:bCs/>
                <w:sz w:val="20"/>
                <w:szCs w:val="20"/>
              </w:rPr>
              <w:t>da in L</w:t>
            </w:r>
            <w:r w:rsidRPr="002A6E23">
              <w:rPr>
                <w:rFonts w:ascii="Arial" w:hAnsi="Arial" w:cs="Arial"/>
                <w:sz w:val="20"/>
                <w:szCs w:val="20"/>
              </w:rPr>
              <w:t>ibya.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[REDACTION]</w:t>
            </w: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67A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57F7F">
              <w:rPr>
                <w:rFonts w:ascii="Arial" w:hAnsi="Arial" w:cs="Arial"/>
                <w:sz w:val="16"/>
                <w:szCs w:val="16"/>
              </w:rPr>
              <w:t xml:space="preserve">(b)(1), 1.4(b) and (d) of </w:t>
            </w:r>
            <w:proofErr w:type="spellStart"/>
            <w:r w:rsidRPr="00A57F7F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Pr="00A57F7F">
              <w:rPr>
                <w:rFonts w:ascii="Arial" w:hAnsi="Arial" w:cs="Arial"/>
                <w:sz w:val="16"/>
                <w:szCs w:val="16"/>
              </w:rPr>
              <w:t xml:space="preserve"> 13526, re </w:t>
            </w: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A57F7F">
              <w:rPr>
                <w:rFonts w:ascii="Arial" w:hAnsi="Arial" w:cs="Arial"/>
                <w:sz w:val="16"/>
                <w:szCs w:val="16"/>
              </w:rPr>
              <w:t xml:space="preserve">foreign government information, or </w:t>
            </w:r>
            <w:r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57F7F">
              <w:rPr>
                <w:rFonts w:ascii="Arial" w:hAnsi="Arial" w:cs="Arial"/>
                <w:sz w:val="16"/>
                <w:szCs w:val="16"/>
              </w:rPr>
              <w:t>foreign relations or activities of US including confidential sources</w:t>
            </w:r>
          </w:p>
        </w:tc>
        <w:tc>
          <w:tcPr>
            <w:tcW w:w="3957" w:type="dxa"/>
          </w:tcPr>
          <w:p w:rsidR="00A7224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Withheld in entirety except for "CLINTON"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B84">
              <w:rPr>
                <w:rFonts w:ascii="Arial" w:hAnsi="Arial" w:cs="Arial"/>
                <w:sz w:val="18"/>
                <w:szCs w:val="18"/>
              </w:rPr>
              <w:t>Sept 12, 2012</w:t>
            </w: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B84">
              <w:rPr>
                <w:rFonts w:ascii="Arial" w:hAnsi="Arial" w:cs="Arial"/>
                <w:sz w:val="16"/>
                <w:szCs w:val="16"/>
              </w:rPr>
              <w:t>C05867211</w:t>
            </w:r>
            <w:proofErr w:type="spellEnd"/>
          </w:p>
        </w:tc>
        <w:tc>
          <w:tcPr>
            <w:tcW w:w="1440" w:type="dxa"/>
          </w:tcPr>
          <w:p w:rsidR="00A72243" w:rsidRPr="00867AE5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67AE5">
              <w:rPr>
                <w:rFonts w:ascii="Arial" w:hAnsi="Arial" w:cs="Arial"/>
                <w:sz w:val="16"/>
                <w:szCs w:val="16"/>
              </w:rPr>
              <w:t>Released in full</w:t>
            </w:r>
          </w:p>
        </w:tc>
        <w:tc>
          <w:tcPr>
            <w:tcW w:w="3957" w:type="dxa"/>
          </w:tcPr>
          <w:p w:rsidR="00BB4DEC" w:rsidRDefault="00BB4DEC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 xml:space="preserve">From: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Abdalla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6E23">
              <w:rPr>
                <w:rFonts w:ascii="Arial" w:hAnsi="Arial" w:cs="Arial"/>
                <w:sz w:val="20"/>
                <w:szCs w:val="20"/>
              </w:rPr>
              <w:t>Alyce</w:t>
            </w:r>
            <w:proofErr w:type="spellEnd"/>
            <w:r w:rsidRPr="002A6E23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Sent: Wednesday, September 12, 2012 7:48 AM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To: NEA-MAG-DL; NEA-Staff- Assistants-DL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Subject:  FW: STATEMENT BY SECRETARY CLINTON: Statement on the Death of American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Personnel in Benghazi, Libya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STATEMENT BY SECRETARY CLINTON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070" w:type="dxa"/>
          </w:tcPr>
          <w:p w:rsidR="00867AE5" w:rsidRPr="00867AE5" w:rsidRDefault="00867AE5" w:rsidP="00867AE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67AE5">
              <w:rPr>
                <w:rFonts w:ascii="Arial" w:hAnsi="Arial" w:cs="Arial"/>
                <w:sz w:val="16"/>
                <w:szCs w:val="16"/>
              </w:rPr>
              <w:t>Non-responsive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B84">
              <w:rPr>
                <w:rFonts w:ascii="Arial" w:hAnsi="Arial" w:cs="Arial"/>
                <w:sz w:val="18"/>
                <w:szCs w:val="18"/>
              </w:rPr>
              <w:t>Sept 12, 2012</w:t>
            </w: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B84">
              <w:rPr>
                <w:rFonts w:ascii="Arial" w:hAnsi="Arial" w:cs="Arial"/>
                <w:sz w:val="16"/>
                <w:szCs w:val="16"/>
              </w:rPr>
              <w:t>C05867377</w:t>
            </w:r>
            <w:proofErr w:type="spellEnd"/>
          </w:p>
        </w:tc>
        <w:tc>
          <w:tcPr>
            <w:tcW w:w="1440" w:type="dxa"/>
          </w:tcPr>
          <w:p w:rsidR="00A72243" w:rsidRPr="00867AE5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67AE5">
              <w:rPr>
                <w:rFonts w:ascii="Arial" w:hAnsi="Arial" w:cs="Arial"/>
                <w:sz w:val="16"/>
                <w:szCs w:val="16"/>
              </w:rPr>
              <w:t>Released in full</w:t>
            </w:r>
          </w:p>
        </w:tc>
        <w:tc>
          <w:tcPr>
            <w:tcW w:w="3957" w:type="dxa"/>
          </w:tcPr>
          <w:p w:rsidR="00A72243" w:rsidRPr="00671B35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1B35">
              <w:rPr>
                <w:rFonts w:ascii="Arial" w:hAnsi="Arial" w:cs="Arial"/>
                <w:sz w:val="20"/>
                <w:szCs w:val="20"/>
              </w:rPr>
              <w:t xml:space="preserve">September 12, 2012 8:58 PM, emails, Stephanie Hudson, Lydia Sizer, Christina </w:t>
            </w:r>
            <w:proofErr w:type="spellStart"/>
            <w:r w:rsidRPr="00671B35">
              <w:rPr>
                <w:rFonts w:ascii="Arial" w:hAnsi="Arial" w:cs="Arial"/>
                <w:sz w:val="20"/>
                <w:szCs w:val="20"/>
              </w:rPr>
              <w:t>Agor</w:t>
            </w:r>
            <w:proofErr w:type="spellEnd"/>
            <w:r w:rsidRPr="00671B3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1B35">
              <w:rPr>
                <w:rFonts w:ascii="Arial" w:hAnsi="Arial" w:cs="Arial"/>
                <w:sz w:val="20"/>
                <w:szCs w:val="20"/>
              </w:rPr>
              <w:t>Alyce</w:t>
            </w:r>
            <w:proofErr w:type="spellEnd"/>
            <w:r w:rsidRPr="00671B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B35">
              <w:rPr>
                <w:rFonts w:ascii="Arial" w:hAnsi="Arial" w:cs="Arial"/>
                <w:sz w:val="20"/>
                <w:szCs w:val="20"/>
              </w:rPr>
              <w:t>Adella</w:t>
            </w:r>
            <w:proofErr w:type="spellEnd"/>
          </w:p>
          <w:p w:rsidR="00A72243" w:rsidRPr="00671B35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1B35">
              <w:rPr>
                <w:rFonts w:ascii="Arial" w:hAnsi="Arial" w:cs="Arial"/>
                <w:sz w:val="20"/>
                <w:szCs w:val="20"/>
              </w:rPr>
              <w:t>"Subject:  FW: For Review:  Call Sheet – DAV Libya"</w:t>
            </w:r>
          </w:p>
          <w:p w:rsidR="00A72243" w:rsidRPr="00671B35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224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71B35">
              <w:rPr>
                <w:rFonts w:ascii="Arial" w:hAnsi="Arial" w:cs="Arial"/>
                <w:sz w:val="20"/>
                <w:szCs w:val="20"/>
              </w:rPr>
              <w:t>Lydia,</w:t>
            </w:r>
            <w:r w:rsidRPr="002A6E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B35">
              <w:rPr>
                <w:rFonts w:ascii="Arial" w:hAnsi="Arial" w:cs="Arial"/>
                <w:sz w:val="20"/>
                <w:szCs w:val="20"/>
              </w:rPr>
              <w:t xml:space="preserve">Per your conversation with Christy </w:t>
            </w:r>
            <w:proofErr w:type="spellStart"/>
            <w:r w:rsidRPr="00671B35">
              <w:rPr>
                <w:rFonts w:ascii="Arial" w:hAnsi="Arial" w:cs="Arial"/>
                <w:sz w:val="20"/>
                <w:szCs w:val="20"/>
              </w:rPr>
              <w:t>Agor</w:t>
            </w:r>
            <w:proofErr w:type="spellEnd"/>
            <w:r w:rsidRPr="00671B35">
              <w:rPr>
                <w:rFonts w:ascii="Arial" w:hAnsi="Arial" w:cs="Arial"/>
                <w:sz w:val="20"/>
                <w:szCs w:val="20"/>
              </w:rPr>
              <w:t xml:space="preserve">, I am forwarding the attached contingency call sheet for S-FM Davutoglu for your review. Thank you very much for taking a look! We can only imagine how busy you must be. </w:t>
            </w:r>
            <w:r w:rsidRPr="002A6E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B35">
              <w:rPr>
                <w:rFonts w:ascii="Arial" w:hAnsi="Arial" w:cs="Arial"/>
                <w:sz w:val="20"/>
                <w:szCs w:val="20"/>
              </w:rPr>
              <w:t>Regards,</w:t>
            </w:r>
            <w:r w:rsidRPr="002A6E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B35">
              <w:rPr>
                <w:rFonts w:ascii="Arial" w:hAnsi="Arial" w:cs="Arial"/>
                <w:sz w:val="20"/>
                <w:szCs w:val="20"/>
              </w:rPr>
              <w:t>Stephanie</w:t>
            </w:r>
          </w:p>
          <w:p w:rsidR="008F2020" w:rsidRPr="002A6E23" w:rsidRDefault="008F2020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F2020" w:rsidRPr="008F2020" w:rsidRDefault="008F2020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F2020">
              <w:rPr>
                <w:rFonts w:ascii="Arial" w:hAnsi="Arial" w:cs="Arial"/>
                <w:sz w:val="16"/>
                <w:szCs w:val="16"/>
              </w:rPr>
              <w:t>Non-responsive</w:t>
            </w:r>
          </w:p>
          <w:p w:rsidR="00A72243" w:rsidRPr="00671B35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-52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0F4B84">
              <w:rPr>
                <w:rFonts w:ascii="Arial" w:hAnsi="Arial" w:cs="Arial"/>
                <w:sz w:val="18"/>
                <w:szCs w:val="18"/>
              </w:rPr>
              <w:t>dated</w:t>
            </w: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B84">
              <w:rPr>
                <w:rFonts w:ascii="Arial" w:hAnsi="Arial" w:cs="Arial"/>
                <w:sz w:val="16"/>
                <w:szCs w:val="16"/>
              </w:rPr>
              <w:t>C05361172</w:t>
            </w:r>
            <w:proofErr w:type="spellEnd"/>
          </w:p>
        </w:tc>
        <w:tc>
          <w:tcPr>
            <w:tcW w:w="1440" w:type="dxa"/>
          </w:tcPr>
          <w:p w:rsidR="00A72243" w:rsidRPr="00867AE5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67AE5">
              <w:rPr>
                <w:rFonts w:ascii="Arial" w:hAnsi="Arial" w:cs="Arial"/>
                <w:sz w:val="16"/>
                <w:szCs w:val="16"/>
              </w:rPr>
              <w:t>Released in full</w:t>
            </w:r>
          </w:p>
          <w:p w:rsidR="008F2020" w:rsidRPr="00354F6C" w:rsidRDefault="008F2020" w:rsidP="008F2020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 xml:space="preserve">Accountability Review Board </w:t>
            </w:r>
            <w:r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2070" w:type="dxa"/>
          </w:tcPr>
          <w:p w:rsidR="008F2020" w:rsidRPr="008F2020" w:rsidRDefault="008F2020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F2020">
              <w:rPr>
                <w:rFonts w:ascii="Arial" w:hAnsi="Arial" w:cs="Arial"/>
                <w:sz w:val="16"/>
                <w:szCs w:val="16"/>
              </w:rPr>
              <w:t>Non-responsive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F4B84">
              <w:rPr>
                <w:rFonts w:ascii="Arial" w:hAnsi="Arial" w:cs="Arial"/>
                <w:sz w:val="18"/>
                <w:szCs w:val="18"/>
              </w:rPr>
              <w:t>Sept 14, 2012</w:t>
            </w: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B84">
              <w:rPr>
                <w:rFonts w:ascii="Arial" w:hAnsi="Arial" w:cs="Arial"/>
                <w:sz w:val="16"/>
                <w:szCs w:val="16"/>
              </w:rPr>
              <w:t>C05351004</w:t>
            </w:r>
            <w:proofErr w:type="spellEnd"/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67AE5">
              <w:rPr>
                <w:rFonts w:ascii="Arial" w:hAnsi="Arial" w:cs="Arial"/>
                <w:sz w:val="16"/>
                <w:szCs w:val="16"/>
              </w:rPr>
              <w:t>Withheld in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(b)(6) personal privacy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Blue Mountain Group Incident Report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Redacted name of person reporting, post at time of incident</w:t>
            </w:r>
          </w:p>
        </w:tc>
        <w:tc>
          <w:tcPr>
            <w:tcW w:w="2070" w:type="dxa"/>
          </w:tcPr>
          <w:p w:rsidR="008F2020" w:rsidRPr="008F2020" w:rsidRDefault="008F2020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F2020">
              <w:rPr>
                <w:rFonts w:ascii="Arial" w:hAnsi="Arial" w:cs="Arial"/>
                <w:sz w:val="16"/>
                <w:szCs w:val="16"/>
              </w:rPr>
              <w:t>Responsive to “survivors' accounts” of the attacks. Compl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8F2020">
              <w:rPr>
                <w:rFonts w:ascii="Arial" w:hAnsi="Arial" w:cs="Arial"/>
                <w:sz w:val="16"/>
                <w:szCs w:val="16"/>
              </w:rPr>
              <w:t xml:space="preserve">¶ 116(3). 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354F6C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54F6C">
              <w:rPr>
                <w:rFonts w:ascii="Arial" w:hAnsi="Arial" w:cs="Arial"/>
                <w:sz w:val="16"/>
                <w:szCs w:val="16"/>
              </w:rPr>
              <w:t>Withheld in entirety</w:t>
            </w:r>
            <w:r>
              <w:rPr>
                <w:rFonts w:ascii="Arial" w:hAnsi="Arial" w:cs="Arial"/>
                <w:sz w:val="16"/>
                <w:szCs w:val="16"/>
              </w:rPr>
              <w:t xml:space="preserve"> --</w:t>
            </w:r>
          </w:p>
          <w:p w:rsidR="00A72243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(b)(6) and (b)(7), (1) personal privacy information, and (2) interference with law enforcement proceedings</w:t>
            </w:r>
          </w:p>
          <w:p w:rsidR="00A72243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E1A8C">
              <w:rPr>
                <w:rFonts w:ascii="Arial" w:hAnsi="Arial" w:cs="Arial"/>
                <w:i/>
                <w:sz w:val="16"/>
                <w:szCs w:val="16"/>
              </w:rPr>
              <w:t xml:space="preserve">Unclear whether both exemptions apply to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all redactions 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8F2020" w:rsidRDefault="008F2020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F2020">
              <w:rPr>
                <w:rFonts w:ascii="Arial" w:hAnsi="Arial" w:cs="Arial"/>
                <w:sz w:val="16"/>
                <w:szCs w:val="16"/>
              </w:rPr>
              <w:t>Unclear whether both exemptions apply to all redactions</w:t>
            </w: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354F6C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54F6C">
              <w:rPr>
                <w:rFonts w:ascii="Arial" w:hAnsi="Arial" w:cs="Arial"/>
                <w:sz w:val="16"/>
                <w:szCs w:val="16"/>
              </w:rPr>
              <w:t>Withheld in entirety --</w:t>
            </w:r>
          </w:p>
          <w:p w:rsidR="00A72243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(b)(6) and (b)(7)(A), (1) personal privacy information, and (2) interference with law enforcement proceedings</w:t>
            </w:r>
          </w:p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8F2020" w:rsidRDefault="008F2020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F2020">
              <w:rPr>
                <w:rFonts w:ascii="Arial" w:hAnsi="Arial" w:cs="Arial"/>
                <w:sz w:val="16"/>
                <w:szCs w:val="16"/>
              </w:rPr>
              <w:t>Unclear whether both exemptions apply to all redactions</w:t>
            </w: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Released in part -- (b)(6) and (b)(7)(A), (1) personal privacy information, and (2) interference with law enforcement proceedings</w:t>
            </w:r>
          </w:p>
        </w:tc>
        <w:tc>
          <w:tcPr>
            <w:tcW w:w="3957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>Withheld in entirety except for "The details above are true and correct," with space for guard signatures, redacted</w:t>
            </w:r>
          </w:p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2243" w:rsidRPr="002A6E23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AE5" w:rsidRPr="000F4B84" w:rsidTr="00867AE5">
        <w:tc>
          <w:tcPr>
            <w:tcW w:w="762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5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F4B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B84">
              <w:rPr>
                <w:rFonts w:ascii="Arial" w:hAnsi="Arial" w:cs="Arial"/>
                <w:sz w:val="16"/>
                <w:szCs w:val="16"/>
              </w:rPr>
              <w:t>C0531394</w:t>
            </w:r>
            <w:proofErr w:type="spellEnd"/>
          </w:p>
        </w:tc>
        <w:tc>
          <w:tcPr>
            <w:tcW w:w="1440" w:type="dxa"/>
          </w:tcPr>
          <w:p w:rsidR="00A72243" w:rsidRPr="000F4B84" w:rsidRDefault="00A72243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Released in part -- (b)(6) and (b)(7)(A), (1) personal privacy information, and (2) interference with law enforcement proceedings</w:t>
            </w:r>
          </w:p>
        </w:tc>
        <w:tc>
          <w:tcPr>
            <w:tcW w:w="3957" w:type="dxa"/>
          </w:tcPr>
          <w:p w:rsidR="00BB4DEC" w:rsidRPr="00BB4DEC" w:rsidRDefault="00BB4DEC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GoBack"/>
            <w:r w:rsidRPr="00BB4DEC">
              <w:rPr>
                <w:rFonts w:ascii="Arial" w:hAnsi="Arial" w:cs="Arial"/>
                <w:bCs/>
                <w:i/>
                <w:sz w:val="20"/>
                <w:szCs w:val="20"/>
              </w:rPr>
              <w:t>EMAIL</w:t>
            </w:r>
          </w:p>
          <w:bookmarkEnd w:id="0"/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Top of page:  "</w:t>
            </w:r>
            <w:proofErr w:type="spellStart"/>
            <w:r w:rsidRPr="002A6E23">
              <w:rPr>
                <w:rFonts w:ascii="Arial" w:hAnsi="Arial" w:cs="Arial"/>
                <w:bCs/>
                <w:sz w:val="20"/>
                <w:szCs w:val="20"/>
              </w:rPr>
              <w:t>Lagg</w:t>
            </w:r>
            <w:proofErr w:type="spellEnd"/>
            <w:r w:rsidRPr="002A6E23">
              <w:rPr>
                <w:rFonts w:ascii="Arial" w:hAnsi="Arial" w:cs="Arial"/>
                <w:bCs/>
                <w:sz w:val="20"/>
                <w:szCs w:val="20"/>
              </w:rPr>
              <w:t>, Cristina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6E23">
              <w:rPr>
                <w:rFonts w:ascii="Arial" w:hAnsi="Arial" w:cs="Arial"/>
                <w:bCs/>
                <w:sz w:val="20"/>
                <w:szCs w:val="20"/>
              </w:rPr>
              <w:t>"RE:  Update from [REDACTION]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6E23">
              <w:rPr>
                <w:rFonts w:ascii="Arial" w:hAnsi="Arial" w:cs="Arial"/>
                <w:bCs/>
                <w:sz w:val="20"/>
                <w:szCs w:val="20"/>
              </w:rPr>
              <w:t xml:space="preserve">Among Ricki Travers, John Corey, David </w:t>
            </w:r>
            <w:proofErr w:type="spellStart"/>
            <w:r w:rsidRPr="002A6E23">
              <w:rPr>
                <w:rFonts w:ascii="Arial" w:hAnsi="Arial" w:cs="Arial"/>
                <w:bCs/>
                <w:sz w:val="20"/>
                <w:szCs w:val="20"/>
              </w:rPr>
              <w:t>Sparrowgrove</w:t>
            </w:r>
            <w:proofErr w:type="spellEnd"/>
            <w:r w:rsidRPr="002A6E23">
              <w:rPr>
                <w:rFonts w:ascii="Arial" w:hAnsi="Arial" w:cs="Arial"/>
                <w:bCs/>
                <w:sz w:val="20"/>
                <w:szCs w:val="20"/>
              </w:rPr>
              <w:t xml:space="preserve">, Jan </w:t>
            </w:r>
            <w:proofErr w:type="spellStart"/>
            <w:r w:rsidRPr="002A6E23">
              <w:rPr>
                <w:rFonts w:ascii="Arial" w:hAnsi="Arial" w:cs="Arial"/>
                <w:bCs/>
                <w:sz w:val="20"/>
                <w:szCs w:val="20"/>
              </w:rPr>
              <w:t>Visitainer</w:t>
            </w:r>
            <w:proofErr w:type="spellEnd"/>
            <w:r w:rsidRPr="002A6E23">
              <w:rPr>
                <w:rFonts w:ascii="Arial" w:hAnsi="Arial" w:cs="Arial"/>
                <w:bCs/>
                <w:sz w:val="20"/>
                <w:szCs w:val="20"/>
              </w:rPr>
              <w:t>, Scott Jones, Douglass Allison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6E23">
              <w:rPr>
                <w:rFonts w:ascii="Arial" w:hAnsi="Arial" w:cs="Arial"/>
                <w:bCs/>
                <w:sz w:val="20"/>
                <w:szCs w:val="20"/>
              </w:rPr>
              <w:t>"According to [REDACTION], there were 5 local guards assigned to the compound the night of the attack:"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6E23">
              <w:rPr>
                <w:rFonts w:ascii="Arial" w:hAnsi="Arial" w:cs="Arial"/>
                <w:bCs/>
                <w:sz w:val="20"/>
                <w:szCs w:val="20"/>
              </w:rPr>
              <w:t>Guard Names, Injuries, Comments [REDACTION]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6E23">
              <w:rPr>
                <w:rFonts w:ascii="Arial" w:hAnsi="Arial" w:cs="Arial"/>
                <w:sz w:val="20"/>
                <w:szCs w:val="20"/>
              </w:rPr>
              <w:t xml:space="preserve">Note: With the exception of one </w:t>
            </w:r>
            <w:proofErr w:type="gramStart"/>
            <w:r w:rsidRPr="002A6E23">
              <w:rPr>
                <w:rFonts w:ascii="Arial" w:hAnsi="Arial" w:cs="Arial"/>
                <w:sz w:val="20"/>
                <w:szCs w:val="20"/>
              </w:rPr>
              <w:t>guard, that is still at the hospital,</w:t>
            </w:r>
            <w:proofErr w:type="gramEnd"/>
            <w:r w:rsidRPr="002A6E23">
              <w:rPr>
                <w:rFonts w:ascii="Arial" w:hAnsi="Arial" w:cs="Arial"/>
                <w:sz w:val="20"/>
                <w:szCs w:val="20"/>
              </w:rPr>
              <w:t xml:space="preserve"> all guards are healthy and </w:t>
            </w:r>
            <w:r w:rsidRPr="002A6E23">
              <w:rPr>
                <w:rFonts w:ascii="Arial" w:hAnsi="Arial" w:cs="Arial"/>
                <w:bCs/>
                <w:sz w:val="20"/>
                <w:szCs w:val="20"/>
              </w:rPr>
              <w:t>remain at their residences.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6E23">
              <w:rPr>
                <w:rFonts w:ascii="Arial" w:hAnsi="Arial" w:cs="Arial"/>
                <w:bCs/>
                <w:sz w:val="20"/>
                <w:szCs w:val="20"/>
              </w:rPr>
              <w:t>[REDACTION]</w:t>
            </w:r>
          </w:p>
          <w:p w:rsidR="00A72243" w:rsidRPr="002A6E2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6E23">
              <w:rPr>
                <w:rFonts w:ascii="Arial" w:hAnsi="Arial" w:cs="Arial"/>
                <w:bCs/>
                <w:sz w:val="20"/>
                <w:szCs w:val="20"/>
              </w:rPr>
              <w:t>[REDACTION]</w:t>
            </w:r>
          </w:p>
        </w:tc>
        <w:tc>
          <w:tcPr>
            <w:tcW w:w="2070" w:type="dxa"/>
          </w:tcPr>
          <w:p w:rsidR="008F2020" w:rsidRPr="007D60C1" w:rsidRDefault="008F2020" w:rsidP="008F202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F2020">
              <w:rPr>
                <w:rFonts w:ascii="Arial" w:hAnsi="Arial" w:cs="Arial"/>
                <w:sz w:val="16"/>
                <w:szCs w:val="16"/>
              </w:rPr>
              <w:t xml:space="preserve">Responsive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7D60C1">
              <w:rPr>
                <w:rFonts w:ascii="Arial" w:hAnsi="Arial" w:cs="Arial"/>
                <w:sz w:val="16"/>
                <w:szCs w:val="16"/>
              </w:rPr>
              <w:t>o “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D60C1">
              <w:rPr>
                <w:rFonts w:ascii="Arial" w:hAnsi="Arial" w:cs="Arial"/>
                <w:sz w:val="16"/>
                <w:szCs w:val="16"/>
              </w:rPr>
              <w:t>urvivors' accounts” of the attacks. Compl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7D60C1">
              <w:rPr>
                <w:rFonts w:ascii="Arial" w:hAnsi="Arial" w:cs="Arial"/>
                <w:sz w:val="16"/>
                <w:szCs w:val="16"/>
              </w:rPr>
              <w:t xml:space="preserve">¶ 116(3). </w:t>
            </w:r>
          </w:p>
          <w:p w:rsidR="00A72243" w:rsidRDefault="00A72243" w:rsidP="008F20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F2020" w:rsidRDefault="008F2020" w:rsidP="00E7421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8F2020" w:rsidRDefault="008F2020" w:rsidP="00E7421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E74212" w:rsidRPr="000F4B84" w:rsidRDefault="00E74212" w:rsidP="00E7421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34165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</w:p>
    <w:p w:rsidR="00E74212" w:rsidRPr="000F4B84" w:rsidRDefault="00E74212" w:rsidP="00957B59">
      <w:pPr>
        <w:pStyle w:val="Default"/>
        <w:rPr>
          <w:rFonts w:ascii="Arial" w:hAnsi="Arial" w:cs="Arial"/>
          <w:sz w:val="16"/>
          <w:szCs w:val="16"/>
        </w:rPr>
      </w:pPr>
    </w:p>
    <w:sectPr w:rsidR="00E74212" w:rsidRPr="000F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2"/>
    <w:rsid w:val="00014951"/>
    <w:rsid w:val="00017F08"/>
    <w:rsid w:val="00022475"/>
    <w:rsid w:val="00051D00"/>
    <w:rsid w:val="000925B3"/>
    <w:rsid w:val="000A0C73"/>
    <w:rsid w:val="000B260E"/>
    <w:rsid w:val="000C636C"/>
    <w:rsid w:val="000F4B84"/>
    <w:rsid w:val="00134165"/>
    <w:rsid w:val="00161F0D"/>
    <w:rsid w:val="00163203"/>
    <w:rsid w:val="00195CC8"/>
    <w:rsid w:val="001A26D7"/>
    <w:rsid w:val="00214D10"/>
    <w:rsid w:val="002A6E23"/>
    <w:rsid w:val="002B79FF"/>
    <w:rsid w:val="002C6AF5"/>
    <w:rsid w:val="002E1A8C"/>
    <w:rsid w:val="00316913"/>
    <w:rsid w:val="00354F6C"/>
    <w:rsid w:val="003633C2"/>
    <w:rsid w:val="00366AFE"/>
    <w:rsid w:val="00367482"/>
    <w:rsid w:val="00383748"/>
    <w:rsid w:val="00393405"/>
    <w:rsid w:val="00393E02"/>
    <w:rsid w:val="003A2882"/>
    <w:rsid w:val="003D7035"/>
    <w:rsid w:val="00433134"/>
    <w:rsid w:val="00466DFA"/>
    <w:rsid w:val="004C7E2B"/>
    <w:rsid w:val="004F7A6E"/>
    <w:rsid w:val="00562DB9"/>
    <w:rsid w:val="00586091"/>
    <w:rsid w:val="005871E4"/>
    <w:rsid w:val="005B6124"/>
    <w:rsid w:val="006226CE"/>
    <w:rsid w:val="00626EF3"/>
    <w:rsid w:val="00671B35"/>
    <w:rsid w:val="00687037"/>
    <w:rsid w:val="006B19B2"/>
    <w:rsid w:val="006D37F5"/>
    <w:rsid w:val="006F05D6"/>
    <w:rsid w:val="00727A02"/>
    <w:rsid w:val="0076287F"/>
    <w:rsid w:val="007A40DD"/>
    <w:rsid w:val="007B299B"/>
    <w:rsid w:val="007C4C90"/>
    <w:rsid w:val="007D60C1"/>
    <w:rsid w:val="00827C52"/>
    <w:rsid w:val="00841723"/>
    <w:rsid w:val="00867AE5"/>
    <w:rsid w:val="00896DCF"/>
    <w:rsid w:val="008D7A40"/>
    <w:rsid w:val="008E70CF"/>
    <w:rsid w:val="008F2020"/>
    <w:rsid w:val="00911FAA"/>
    <w:rsid w:val="00927C12"/>
    <w:rsid w:val="00955D6D"/>
    <w:rsid w:val="00957B59"/>
    <w:rsid w:val="00962969"/>
    <w:rsid w:val="009D2024"/>
    <w:rsid w:val="00A3225E"/>
    <w:rsid w:val="00A4126C"/>
    <w:rsid w:val="00A57F7F"/>
    <w:rsid w:val="00A606D1"/>
    <w:rsid w:val="00A72243"/>
    <w:rsid w:val="00A8640D"/>
    <w:rsid w:val="00AA7503"/>
    <w:rsid w:val="00AC5502"/>
    <w:rsid w:val="00B17ACC"/>
    <w:rsid w:val="00B508DA"/>
    <w:rsid w:val="00B8642B"/>
    <w:rsid w:val="00B94056"/>
    <w:rsid w:val="00BA6172"/>
    <w:rsid w:val="00BA6A75"/>
    <w:rsid w:val="00BB4A3E"/>
    <w:rsid w:val="00BB4DEC"/>
    <w:rsid w:val="00BC7B90"/>
    <w:rsid w:val="00BD39DC"/>
    <w:rsid w:val="00C6720F"/>
    <w:rsid w:val="00C871DC"/>
    <w:rsid w:val="00C949A9"/>
    <w:rsid w:val="00C94CC8"/>
    <w:rsid w:val="00CA4AE0"/>
    <w:rsid w:val="00CC425F"/>
    <w:rsid w:val="00CD3A46"/>
    <w:rsid w:val="00D02817"/>
    <w:rsid w:val="00D05062"/>
    <w:rsid w:val="00D052D3"/>
    <w:rsid w:val="00D723D7"/>
    <w:rsid w:val="00D80288"/>
    <w:rsid w:val="00E07B01"/>
    <w:rsid w:val="00E1552E"/>
    <w:rsid w:val="00E74212"/>
    <w:rsid w:val="00E74A7D"/>
    <w:rsid w:val="00E77D61"/>
    <w:rsid w:val="00EB39D4"/>
    <w:rsid w:val="00EB62D0"/>
    <w:rsid w:val="00EF5C40"/>
    <w:rsid w:val="00F537A6"/>
    <w:rsid w:val="00F723A7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14F41-A097-4E62-B068-149434C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E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640D"/>
    <w:rPr>
      <w:color w:val="0000FF"/>
      <w:u w:val="single"/>
    </w:rPr>
  </w:style>
  <w:style w:type="table" w:styleId="TableGrid">
    <w:name w:val="Table Grid"/>
    <w:basedOn w:val="TableNormal"/>
    <w:uiPriority w:val="39"/>
    <w:rsid w:val="0013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Clarke</dc:creator>
  <cp:keywords/>
  <dc:description/>
  <cp:lastModifiedBy>John Clarke</cp:lastModifiedBy>
  <cp:revision>6</cp:revision>
  <cp:lastPrinted>2015-12-15T20:16:00Z</cp:lastPrinted>
  <dcterms:created xsi:type="dcterms:W3CDTF">2015-12-24T18:07:00Z</dcterms:created>
  <dcterms:modified xsi:type="dcterms:W3CDTF">2015-12-29T18:17:00Z</dcterms:modified>
</cp:coreProperties>
</file>